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5C539">
      <w:pPr>
        <w:spacing w:line="560" w:lineRule="exact"/>
        <w:ind w:firstLine="880" w:firstLineChars="20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-1270</wp:posOffset>
            </wp:positionV>
            <wp:extent cx="2748280" cy="656590"/>
            <wp:effectExtent l="0" t="0" r="13970" b="10160"/>
            <wp:wrapNone/>
            <wp:docPr id="6" name="图片 5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未标题-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BF3E5">
      <w:pPr>
        <w:spacing w:line="560" w:lineRule="exact"/>
        <w:ind w:firstLine="880" w:firstLineChars="20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6BB89060">
      <w:pPr>
        <w:spacing w:line="560" w:lineRule="exact"/>
        <w:rPr>
          <w:rFonts w:hint="default" w:ascii="Times New Roman" w:hAnsi="Times New Roman" w:eastAsia="黑体" w:cs="Times New Roman"/>
          <w:sz w:val="44"/>
          <w:szCs w:val="44"/>
        </w:rPr>
      </w:pPr>
    </w:p>
    <w:p w14:paraId="35FC12DC">
      <w:pPr>
        <w:spacing w:line="560" w:lineRule="exact"/>
        <w:rPr>
          <w:rFonts w:hint="default" w:ascii="Times New Roman" w:hAnsi="Times New Roman" w:eastAsia="黑体" w:cs="Times New Roman"/>
          <w:sz w:val="44"/>
          <w:szCs w:val="44"/>
        </w:rPr>
      </w:pPr>
    </w:p>
    <w:p w14:paraId="22879A34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56"/>
          <w:szCs w:val="56"/>
        </w:rPr>
      </w:pPr>
      <w:r>
        <w:rPr>
          <w:rFonts w:hint="default" w:ascii="Times New Roman" w:hAnsi="Times New Roman" w:eastAsia="方正小标宋简体" w:cs="Times New Roman"/>
          <w:sz w:val="56"/>
          <w:szCs w:val="56"/>
        </w:rPr>
        <w:t>2026年</w:t>
      </w:r>
      <w:r>
        <w:rPr>
          <w:rFonts w:hint="eastAsia" w:ascii="Times New Roman" w:hAnsi="Times New Roman" w:eastAsia="方正小标宋简体" w:cs="Times New Roman"/>
          <w:sz w:val="56"/>
          <w:szCs w:val="56"/>
          <w:lang w:val="en-US" w:eastAsia="zh-CN"/>
        </w:rPr>
        <w:t>XXXXX</w:t>
      </w:r>
      <w:r>
        <w:rPr>
          <w:rFonts w:hint="default" w:ascii="Times New Roman" w:hAnsi="Times New Roman" w:eastAsia="方正小标宋简体" w:cs="Times New Roman"/>
          <w:sz w:val="56"/>
          <w:szCs w:val="56"/>
        </w:rPr>
        <w:t>班</w:t>
      </w:r>
    </w:p>
    <w:p w14:paraId="3785C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1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  <w:t>培</w:t>
      </w:r>
    </w:p>
    <w:p w14:paraId="6A198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  <w:t>训</w:t>
      </w:r>
    </w:p>
    <w:p w14:paraId="70158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  <w:t>手</w:t>
      </w:r>
    </w:p>
    <w:p w14:paraId="28E33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1" w:afterLines="250" w:line="1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90"/>
          <w:szCs w:val="90"/>
        </w:rPr>
        <w:t>册</w:t>
      </w:r>
    </w:p>
    <w:p w14:paraId="3EC616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  <w:t>主办单位：衢州市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val="en-US" w:eastAsia="zh-CN"/>
        </w:rPr>
        <w:t>XXX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  <w:t>局</w:t>
      </w:r>
    </w:p>
    <w:p w14:paraId="6E936D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  <w:t>承办单位：衢州学院</w:t>
      </w:r>
    </w:p>
    <w:p w14:paraId="19554B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400" w:firstLineChars="500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28"/>
          <w:szCs w:val="28"/>
        </w:rPr>
        <w:t>编制时间：2026年7月10日</w:t>
      </w:r>
    </w:p>
    <w:p w14:paraId="5257CCAE">
      <w:pPr>
        <w:widowControl/>
        <w:spacing w:line="360" w:lineRule="atLeast"/>
        <w:jc w:val="left"/>
        <w:outlineLvl w:val="0"/>
        <w:rPr>
          <w:rFonts w:hint="default"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6117BF1D">
      <w:pPr>
        <w:widowControl/>
        <w:spacing w:line="360" w:lineRule="atLeast"/>
        <w:jc w:val="left"/>
        <w:outlineLvl w:val="0"/>
        <w:rPr>
          <w:rFonts w:hint="default"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12D34650">
      <w:pPr>
        <w:pStyle w:val="2"/>
        <w:bidi w:val="0"/>
        <w:rPr>
          <w:rFonts w:hint="default" w:ascii="Times New Roman" w:hAnsi="Times New Roman" w:cs="Times New Roman"/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9310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仿宋_GB2312" w:cs="Times New Roman"/>
          <w:kern w:val="2"/>
          <w:sz w:val="32"/>
          <w:szCs w:val="36"/>
          <w:lang w:val="en-US" w:eastAsia="zh-CN" w:bidi="ar-SA"/>
        </w:rPr>
      </w:sdtEndPr>
      <w:sdtContent>
        <w:p w14:paraId="49C3B666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313" w:afterLines="100" w:line="240" w:lineRule="auto"/>
            <w:ind w:left="0" w:leftChars="0" w:right="0" w:rightChars="0" w:firstLine="0" w:firstLineChars="0"/>
            <w:jc w:val="center"/>
            <w:textAlignment w:val="auto"/>
          </w:pPr>
          <w:r>
            <w:rPr>
              <w:rStyle w:val="20"/>
              <w:color w:val="auto"/>
              <w:sz w:val="36"/>
              <w:szCs w:val="40"/>
            </w:rPr>
            <w:t>目</w:t>
          </w:r>
          <w:r>
            <w:rPr>
              <w:rStyle w:val="20"/>
              <w:rFonts w:hint="eastAsia" w:eastAsia="黑体"/>
              <w:color w:val="auto"/>
              <w:sz w:val="36"/>
              <w:szCs w:val="40"/>
              <w:lang w:val="en-US" w:eastAsia="zh-CN"/>
            </w:rPr>
            <w:t xml:space="preserve">  </w:t>
          </w:r>
          <w:r>
            <w:rPr>
              <w:rStyle w:val="20"/>
              <w:color w:val="auto"/>
              <w:sz w:val="36"/>
              <w:szCs w:val="40"/>
            </w:rPr>
            <w:t>录</w:t>
          </w:r>
        </w:p>
        <w:p w14:paraId="7496E602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TOC \o "1-1" \h \u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_Toc8178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bCs w:val="0"/>
              <w:sz w:val="32"/>
              <w:szCs w:val="36"/>
              <w:lang w:val="en-US" w:eastAsia="zh-CN"/>
            </w:rPr>
            <w:t>一、</w:t>
          </w:r>
          <w:r>
            <w:rPr>
              <w:rFonts w:hint="default" w:ascii="Times New Roman" w:hAnsi="Times New Roman" w:eastAsia="仿宋_GB2312" w:cs="Times New Roman"/>
              <w:bCs w:val="0"/>
              <w:sz w:val="32"/>
              <w:szCs w:val="36"/>
            </w:rPr>
            <w:t>培训目标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eastAsia" w:ascii="Times New Roman" w:hAnsi="Times New Roman" w:eastAsia="仿宋_GB2312" w:cs="Times New Roman"/>
              <w:sz w:val="32"/>
              <w:szCs w:val="36"/>
              <w:lang w:val="en-US" w:eastAsia="zh-CN"/>
            </w:rPr>
            <w:t>1</w: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5991F528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_Toc23773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二、培训对象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_Toc23773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1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2D1DE9E2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_Toc24796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三、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培训时间、地点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_Toc24796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1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54CE581B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_Toc31193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四、培训形式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_Toc31193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1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059BA82D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_Toc404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五、培训课程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_Toc404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2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51D7673E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_Toc26736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六、培训须知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_Toc26736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3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3F0C6748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_Toc16149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七、授课专家简介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_Toc16149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04542E5C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_Toc29303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八、管理团队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_Toc29303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4721D004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_Toc28852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衢州学院简介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_Toc28852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0B0F6EB9">
          <w:pPr>
            <w:pStyle w:val="13"/>
            <w:tabs>
              <w:tab w:val="right" w:leader="dot" w:pos="8306"/>
            </w:tabs>
            <w:rPr>
              <w:rFonts w:hint="default" w:ascii="Times New Roman" w:hAnsi="Times New Roman" w:eastAsia="仿宋_GB2312" w:cs="Times New Roman"/>
              <w:sz w:val="32"/>
              <w:szCs w:val="36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_Toc30274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衢州学院终身教育中心（美丽经济学院）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eastAsia" w:ascii="Times New Roman" w:hAnsi="Times New Roman" w:eastAsia="仿宋_GB2312" w:cs="Times New Roman"/>
              <w:sz w:val="32"/>
              <w:szCs w:val="36"/>
              <w:lang w:val="en-US" w:eastAsia="zh-CN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3C3F3EC7">
          <w:pPr>
            <w:pStyle w:val="13"/>
            <w:tabs>
              <w:tab w:val="right" w:leader="dot" w:pos="8306"/>
            </w:tabs>
          </w:pP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instrText xml:space="preserve"> HYPERLINK \l _Toc18553 </w:instrText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  <w:lang w:val="en-US" w:eastAsia="zh-CN"/>
            </w:rPr>
            <w:t>课程学习笔记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instrText xml:space="preserve"> PAGEREF _Toc18553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t>12</w:t>
          </w:r>
          <w:r>
            <w:rPr>
              <w:rFonts w:hint="default" w:ascii="Times New Roman" w:hAnsi="Times New Roman" w:eastAsia="仿宋_GB2312" w:cs="Times New Roman"/>
              <w:sz w:val="32"/>
              <w:szCs w:val="36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52"/>
            </w:rPr>
            <w:fldChar w:fldCharType="end"/>
          </w:r>
        </w:p>
        <w:p w14:paraId="565C7428"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700" w:lineRule="exact"/>
            <w:textAlignment w:val="auto"/>
            <w:rPr>
              <w:rFonts w:hint="default" w:ascii="Times New Roman" w:hAnsi="Times New Roman" w:eastAsia="仿宋_GB2312" w:cs="Times New Roman"/>
              <w:kern w:val="2"/>
              <w:sz w:val="32"/>
              <w:szCs w:val="36"/>
              <w:lang w:val="en-US" w:eastAsia="zh-CN" w:bidi="ar-SA"/>
            </w:rPr>
          </w:pPr>
          <w:r>
            <w:rPr>
              <w:rFonts w:hint="default" w:ascii="Times New Roman" w:hAnsi="Times New Roman" w:eastAsia="仿宋_GB2312" w:cs="Times New Roman"/>
              <w:szCs w:val="36"/>
            </w:rPr>
            <w:fldChar w:fldCharType="end"/>
          </w:r>
        </w:p>
      </w:sdtContent>
    </w:sdt>
    <w:p w14:paraId="64A43E8F">
      <w:pPr>
        <w:rPr>
          <w:rFonts w:hint="default" w:ascii="Times New Roman" w:hAnsi="Times New Roman" w:cs="Times New Roman" w:eastAsiaTheme="minorEastAsia"/>
          <w:kern w:val="2"/>
          <w:sz w:val="21"/>
          <w:szCs w:val="22"/>
          <w:lang w:val="en-US" w:eastAsia="zh-CN" w:bidi="ar-SA"/>
        </w:rPr>
      </w:pPr>
    </w:p>
    <w:p w14:paraId="73206513">
      <w:pPr>
        <w:pStyle w:val="2"/>
        <w:bidi w:val="0"/>
        <w:rPr>
          <w:rFonts w:hint="default" w:ascii="Times New Roman" w:hAnsi="Times New Roman" w:cs="Times New Roman"/>
          <w:color w:val="auto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Toc2619"/>
    </w:p>
    <w:bookmarkEnd w:id="0"/>
    <w:p w14:paraId="6832D489">
      <w:pPr>
        <w:pStyle w:val="2"/>
        <w:bidi w:val="0"/>
        <w:rPr>
          <w:color w:val="auto"/>
        </w:rPr>
      </w:pPr>
      <w:bookmarkStart w:id="1" w:name="_Toc9076"/>
      <w:bookmarkStart w:id="2" w:name="_Toc12759"/>
      <w:r>
        <w:rPr>
          <w:rFonts w:hint="eastAsia"/>
          <w:color w:val="auto"/>
          <w:lang w:val="en-US" w:eastAsia="zh-CN"/>
        </w:rPr>
        <w:t>一、</w:t>
      </w:r>
      <w:r>
        <w:rPr>
          <w:rFonts w:hint="eastAsia"/>
          <w:color w:val="auto"/>
        </w:rPr>
        <w:t>培训目标</w:t>
      </w:r>
    </w:p>
    <w:p w14:paraId="491C37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本项目为[项目性质，如：省级财政资助/企业内部/行业认证]培训，紧扣[行业/领域]发展需求，聚焦[核心关键词1]、[核心关键词2]、[核心关键词3]等前沿领域开展系统研修。</w:t>
      </w:r>
    </w:p>
    <w:p w14:paraId="74B9F5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旨在助力学员：</w:t>
      </w:r>
    </w:p>
    <w:p w14:paraId="72BC2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更新知识体系： 吃透[关键技术/政策]，补齐[行业]短板，建立[某种新型]思维。</w:t>
      </w:r>
    </w:p>
    <w:p w14:paraId="2F3CE4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解决实际问题： 依托专家授课、现场教学、分组研讨破解产业落地难题，形成实操思路。</w:t>
      </w:r>
    </w:p>
    <w:p w14:paraId="095B07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搭建交流平台： 打通[政企校/上下游]资源渠道，促成[合作/试点]，考核合格可认定[具体数字]学时/学分。</w:t>
      </w:r>
      <w:bookmarkEnd w:id="1"/>
    </w:p>
    <w:p w14:paraId="1292CAE0">
      <w:pPr>
        <w:pStyle w:val="2"/>
        <w:bidi w:val="0"/>
        <w:rPr>
          <w:rFonts w:hint="default"/>
          <w:color w:val="auto"/>
          <w:lang w:val="en-US" w:eastAsia="zh-CN"/>
        </w:rPr>
      </w:pPr>
      <w:bookmarkStart w:id="3" w:name="_Toc23773"/>
      <w:r>
        <w:rPr>
          <w:rFonts w:hint="eastAsia"/>
          <w:color w:val="auto"/>
          <w:lang w:val="en-US" w:eastAsia="zh-CN"/>
        </w:rPr>
        <w:t>二、</w:t>
      </w:r>
      <w:r>
        <w:rPr>
          <w:rFonts w:hint="default"/>
          <w:color w:val="auto"/>
          <w:lang w:val="en-US" w:eastAsia="zh-CN"/>
        </w:rPr>
        <w:t>培训对象</w:t>
      </w:r>
      <w:bookmarkEnd w:id="2"/>
      <w:bookmarkEnd w:id="3"/>
    </w:p>
    <w:p w14:paraId="0FA0A7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4" w:name="_Toc27484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本次研修班面向[具体行业/系统]相关从业者，限额[具体数字]名，主要涵盖：</w:t>
      </w:r>
    </w:p>
    <w:p w14:paraId="362170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[目标群体1，如：相关事业单位人员]</w:t>
      </w:r>
    </w:p>
    <w:p w14:paraId="21BC2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[目标群体2，如：企业中高层技术与管理骨干]</w:t>
      </w:r>
    </w:p>
    <w:p w14:paraId="16C19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[目标群体3，如：高校及科研机构人员]</w:t>
      </w:r>
    </w:p>
    <w:p w14:paraId="40465770">
      <w:pPr>
        <w:pStyle w:val="2"/>
        <w:bidi w:val="0"/>
        <w:jc w:val="both"/>
        <w:rPr>
          <w:rFonts w:hint="default"/>
        </w:rPr>
      </w:pPr>
      <w:bookmarkStart w:id="5" w:name="_Toc24796"/>
      <w:r>
        <w:rPr>
          <w:rFonts w:hint="eastAsia"/>
          <w:color w:val="auto"/>
          <w:lang w:val="en-US" w:eastAsia="zh-CN"/>
        </w:rPr>
        <w:t>三、</w:t>
      </w:r>
      <w:r>
        <w:rPr>
          <w:rFonts w:hint="default"/>
          <w:color w:val="auto"/>
        </w:rPr>
        <w:t>培训时间、地点</w:t>
      </w:r>
      <w:bookmarkEnd w:id="4"/>
      <w:bookmarkEnd w:id="5"/>
    </w:p>
    <w:p w14:paraId="42D4E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6" w:name="_Toc31898"/>
      <w:bookmarkStart w:id="7" w:name="_Toc13586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1.培训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时间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日—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kern w:val="36"/>
          <w:sz w:val="28"/>
          <w:szCs w:val="28"/>
          <w:highlight w:val="none"/>
        </w:rPr>
        <w:t>日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，共计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天</w:t>
      </w:r>
      <w:bookmarkEnd w:id="6"/>
    </w:p>
    <w:p w14:paraId="5FEED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8" w:name="_Toc22268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</w:t>
      </w:r>
      <w:bookmarkEnd w:id="8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培训会场：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大酒店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厅</w:t>
      </w:r>
    </w:p>
    <w:p w14:paraId="466E5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3.培训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地址：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XXXXXX</w:t>
      </w:r>
    </w:p>
    <w:p w14:paraId="5D876C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联系电话：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经理</w:t>
      </w:r>
    </w:p>
    <w:p w14:paraId="369B5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9" w:name="_Toc15349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.现场教学点位：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公司</w:t>
      </w:r>
      <w:bookmarkEnd w:id="9"/>
    </w:p>
    <w:p w14:paraId="51460428">
      <w:pPr>
        <w:pStyle w:val="2"/>
        <w:bidi w:val="0"/>
        <w:jc w:val="both"/>
        <w:rPr>
          <w:rFonts w:hint="default"/>
          <w:color w:val="auto"/>
          <w:lang w:val="en-US" w:eastAsia="zh-CN"/>
        </w:rPr>
      </w:pPr>
      <w:bookmarkStart w:id="10" w:name="_Toc31193"/>
      <w:r>
        <w:rPr>
          <w:rFonts w:hint="eastAsia"/>
          <w:color w:val="auto"/>
          <w:lang w:val="en-US" w:eastAsia="zh-CN"/>
        </w:rPr>
        <w:t>四、</w:t>
      </w:r>
      <w:r>
        <w:rPr>
          <w:rFonts w:hint="default"/>
          <w:color w:val="auto"/>
          <w:lang w:val="en-US" w:eastAsia="zh-CN"/>
        </w:rPr>
        <w:t>培训形式</w:t>
      </w:r>
      <w:bookmarkEnd w:id="7"/>
      <w:bookmarkEnd w:id="10"/>
    </w:p>
    <w:p w14:paraId="2DB94D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11" w:name="_Toc24114"/>
      <w:bookmarkStart w:id="12" w:name="_Toc27778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本次研修采用理论实操、研学研讨一体化模式，开设行业专家专题授课、现场教学、分组研讨三类教学活动。</w:t>
      </w:r>
      <w:bookmarkEnd w:id="11"/>
    </w:p>
    <w:p w14:paraId="3ABBF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13" w:name="_Toc27081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1.专家授课：汇聚行业资深专家，围绕核心模块开展专题讲解；</w:t>
      </w:r>
      <w:bookmarkEnd w:id="13"/>
    </w:p>
    <w:p w14:paraId="573E93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14" w:name="_Toc9489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2.现场教学：实地参观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(地点）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，一线实操答疑；</w:t>
      </w:r>
      <w:bookmarkEnd w:id="14"/>
    </w:p>
    <w:p w14:paraId="16B26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15" w:name="_Toc323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3.研讨交流：分组探讨行业痛点，结业分享工作设想；</w:t>
      </w:r>
      <w:bookmarkEnd w:id="15"/>
    </w:p>
    <w:p w14:paraId="0E1BB2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spacing w:val="-11"/>
          <w:kern w:val="36"/>
          <w:sz w:val="28"/>
          <w:szCs w:val="28"/>
        </w:rPr>
      </w:pPr>
      <w:bookmarkStart w:id="16" w:name="_Toc2556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4.结业考核：</w:t>
      </w:r>
      <w:r>
        <w:rPr>
          <w:rFonts w:hint="eastAsia" w:ascii="Times New Roman" w:hAnsi="Times New Roman" w:eastAsia="仿宋_GB2312" w:cs="Times New Roman"/>
          <w:color w:val="000000"/>
          <w:spacing w:val="-11"/>
          <w:kern w:val="36"/>
          <w:sz w:val="28"/>
          <w:szCs w:val="28"/>
        </w:rPr>
        <w:t>全程考勤，提交交流材料，考核通过发放证书。</w:t>
      </w:r>
      <w:bookmarkEnd w:id="16"/>
    </w:p>
    <w:p w14:paraId="702927A3">
      <w:pPr>
        <w:pStyle w:val="2"/>
        <w:bidi w:val="0"/>
        <w:jc w:val="both"/>
        <w:rPr>
          <w:rFonts w:hint="default"/>
          <w:color w:val="auto"/>
          <w:lang w:val="en-US" w:eastAsia="zh-CN"/>
        </w:rPr>
      </w:pPr>
      <w:bookmarkStart w:id="17" w:name="_Toc404"/>
      <w:r>
        <w:rPr>
          <w:rFonts w:hint="eastAsia"/>
          <w:color w:val="auto"/>
          <w:lang w:val="en-US" w:eastAsia="zh-CN"/>
        </w:rPr>
        <w:t>五、</w:t>
      </w:r>
      <w:r>
        <w:rPr>
          <w:rFonts w:hint="default"/>
          <w:color w:val="auto"/>
          <w:lang w:val="en-US" w:eastAsia="zh-CN"/>
        </w:rPr>
        <w:t>培训课程</w:t>
      </w:r>
      <w:bookmarkEnd w:id="12"/>
      <w:bookmarkEnd w:id="17"/>
    </w:p>
    <w:tbl>
      <w:tblPr>
        <w:tblStyle w:val="18"/>
        <w:tblW w:w="8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278"/>
        <w:gridCol w:w="1633"/>
        <w:gridCol w:w="3158"/>
        <w:gridCol w:w="950"/>
      </w:tblGrid>
      <w:tr w14:paraId="6CAD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170" w:type="dxa"/>
            <w:vAlign w:val="center"/>
          </w:tcPr>
          <w:p w14:paraId="56008E7E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290" w:type="dxa"/>
            <w:vAlign w:val="center"/>
          </w:tcPr>
          <w:p w14:paraId="743592F5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时段</w:t>
            </w:r>
          </w:p>
        </w:tc>
        <w:tc>
          <w:tcPr>
            <w:tcW w:w="1650" w:type="dxa"/>
            <w:vAlign w:val="center"/>
          </w:tcPr>
          <w:p w14:paraId="32B05B69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课程主题</w:t>
            </w:r>
          </w:p>
        </w:tc>
        <w:tc>
          <w:tcPr>
            <w:tcW w:w="3195" w:type="dxa"/>
            <w:vAlign w:val="center"/>
          </w:tcPr>
          <w:p w14:paraId="69EF70AC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核心授课内容</w:t>
            </w:r>
          </w:p>
        </w:tc>
        <w:tc>
          <w:tcPr>
            <w:tcW w:w="957" w:type="dxa"/>
            <w:vAlign w:val="center"/>
          </w:tcPr>
          <w:p w14:paraId="46032021">
            <w:pPr>
              <w:widowControl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主讲人</w:t>
            </w:r>
          </w:p>
        </w:tc>
      </w:tr>
      <w:tr w14:paraId="65D2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75957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2327A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上午</w:t>
            </w:r>
          </w:p>
          <w:p w14:paraId="2A3A1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8:30-12:00</w:t>
            </w:r>
          </w:p>
        </w:tc>
        <w:tc>
          <w:tcPr>
            <w:tcW w:w="1290" w:type="dxa"/>
            <w:vAlign w:val="center"/>
          </w:tcPr>
          <w:p w14:paraId="11FCA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开班仪式+专题授课</w:t>
            </w:r>
          </w:p>
        </w:tc>
        <w:tc>
          <w:tcPr>
            <w:tcW w:w="1650" w:type="dxa"/>
            <w:vAlign w:val="center"/>
          </w:tcPr>
          <w:p w14:paraId="37B70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60F46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1.开班全套流程；</w:t>
            </w:r>
          </w:p>
          <w:p w14:paraId="36AE7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</w:t>
            </w:r>
          </w:p>
          <w:p w14:paraId="15D34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</w:t>
            </w:r>
          </w:p>
        </w:tc>
        <w:tc>
          <w:tcPr>
            <w:tcW w:w="957" w:type="dxa"/>
            <w:vAlign w:val="center"/>
          </w:tcPr>
          <w:p w14:paraId="113B0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3BB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67B9B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398C5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下午</w:t>
            </w:r>
          </w:p>
          <w:p w14:paraId="42E40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14:00-17:30</w:t>
            </w:r>
          </w:p>
        </w:tc>
        <w:tc>
          <w:tcPr>
            <w:tcW w:w="1290" w:type="dxa"/>
            <w:vAlign w:val="center"/>
          </w:tcPr>
          <w:p w14:paraId="7741F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专题讲座</w:t>
            </w:r>
          </w:p>
        </w:tc>
        <w:tc>
          <w:tcPr>
            <w:tcW w:w="1650" w:type="dxa"/>
            <w:vAlign w:val="center"/>
          </w:tcPr>
          <w:p w14:paraId="5B6FD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25FE4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</w:t>
            </w:r>
          </w:p>
          <w:p w14:paraId="64682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</w:t>
            </w:r>
          </w:p>
          <w:p w14:paraId="5DB68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</w:t>
            </w:r>
          </w:p>
        </w:tc>
        <w:tc>
          <w:tcPr>
            <w:tcW w:w="957" w:type="dxa"/>
            <w:vAlign w:val="center"/>
          </w:tcPr>
          <w:p w14:paraId="1F097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93D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3C503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7D155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上午</w:t>
            </w:r>
          </w:p>
          <w:p w14:paraId="1624D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8:30-12:00</w:t>
            </w:r>
          </w:p>
        </w:tc>
        <w:tc>
          <w:tcPr>
            <w:tcW w:w="1290" w:type="dxa"/>
            <w:vAlign w:val="center"/>
          </w:tcPr>
          <w:p w14:paraId="56E05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专题讲座</w:t>
            </w:r>
          </w:p>
        </w:tc>
        <w:tc>
          <w:tcPr>
            <w:tcW w:w="1650" w:type="dxa"/>
            <w:vAlign w:val="center"/>
          </w:tcPr>
          <w:p w14:paraId="56098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2D635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</w:t>
            </w:r>
          </w:p>
          <w:p w14:paraId="409E6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</w:t>
            </w:r>
          </w:p>
          <w:p w14:paraId="2F8EF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</w:t>
            </w:r>
          </w:p>
        </w:tc>
        <w:tc>
          <w:tcPr>
            <w:tcW w:w="957" w:type="dxa"/>
            <w:vAlign w:val="center"/>
          </w:tcPr>
          <w:p w14:paraId="389D3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B1C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04B70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3A8D6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下午</w:t>
            </w:r>
          </w:p>
          <w:p w14:paraId="1EE72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14:00-17:30</w:t>
            </w:r>
          </w:p>
        </w:tc>
        <w:tc>
          <w:tcPr>
            <w:tcW w:w="1290" w:type="dxa"/>
            <w:vAlign w:val="center"/>
          </w:tcPr>
          <w:p w14:paraId="5892E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现场教学+分组研讨</w:t>
            </w:r>
          </w:p>
        </w:tc>
        <w:tc>
          <w:tcPr>
            <w:tcW w:w="1650" w:type="dxa"/>
            <w:vAlign w:val="center"/>
          </w:tcPr>
          <w:p w14:paraId="1CD6C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64C39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</w:t>
            </w:r>
          </w:p>
          <w:p w14:paraId="3FCBD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</w:t>
            </w:r>
          </w:p>
          <w:p w14:paraId="5B840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</w:t>
            </w:r>
          </w:p>
        </w:tc>
        <w:tc>
          <w:tcPr>
            <w:tcW w:w="957" w:type="dxa"/>
            <w:vAlign w:val="center"/>
          </w:tcPr>
          <w:p w14:paraId="1679A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667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5EFA9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15D4F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上午</w:t>
            </w:r>
          </w:p>
          <w:p w14:paraId="7202D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8:30-12:00</w:t>
            </w:r>
          </w:p>
        </w:tc>
        <w:tc>
          <w:tcPr>
            <w:tcW w:w="1290" w:type="dxa"/>
            <w:vAlign w:val="center"/>
          </w:tcPr>
          <w:p w14:paraId="2A6B6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专题讲座</w:t>
            </w:r>
          </w:p>
        </w:tc>
        <w:tc>
          <w:tcPr>
            <w:tcW w:w="1650" w:type="dxa"/>
            <w:vAlign w:val="center"/>
          </w:tcPr>
          <w:p w14:paraId="02753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53860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</w:t>
            </w:r>
          </w:p>
          <w:p w14:paraId="2ACF5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2.</w:t>
            </w:r>
          </w:p>
          <w:p w14:paraId="42FDE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</w:t>
            </w:r>
          </w:p>
        </w:tc>
        <w:tc>
          <w:tcPr>
            <w:tcW w:w="957" w:type="dxa"/>
            <w:vAlign w:val="center"/>
          </w:tcPr>
          <w:p w14:paraId="2B849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863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Align w:val="center"/>
          </w:tcPr>
          <w:p w14:paraId="46C4E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  <w:p w14:paraId="6DE97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下午</w:t>
            </w:r>
          </w:p>
          <w:p w14:paraId="64C60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14:00-17:00</w:t>
            </w:r>
          </w:p>
        </w:tc>
        <w:tc>
          <w:tcPr>
            <w:tcW w:w="1290" w:type="dxa"/>
            <w:vAlign w:val="center"/>
          </w:tcPr>
          <w:p w14:paraId="032D1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跨界研讨+结业总结</w:t>
            </w:r>
          </w:p>
        </w:tc>
        <w:tc>
          <w:tcPr>
            <w:tcW w:w="1650" w:type="dxa"/>
            <w:vAlign w:val="center"/>
          </w:tcPr>
          <w:p w14:paraId="7EC45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vAlign w:val="center"/>
          </w:tcPr>
          <w:p w14:paraId="7FF36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全体学员+授课专家</w:t>
            </w:r>
          </w:p>
        </w:tc>
        <w:tc>
          <w:tcPr>
            <w:tcW w:w="957" w:type="dxa"/>
            <w:vAlign w:val="center"/>
          </w:tcPr>
          <w:p w14:paraId="69903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</w:tbl>
    <w:p w14:paraId="20445912">
      <w:pPr>
        <w:pStyle w:val="2"/>
        <w:bidi w:val="0"/>
        <w:jc w:val="both"/>
        <w:rPr>
          <w:rFonts w:hint="default"/>
          <w:color w:val="auto"/>
          <w:lang w:val="en-US" w:eastAsia="zh-CN"/>
        </w:rPr>
      </w:pPr>
      <w:bookmarkStart w:id="18" w:name="_Toc26736"/>
      <w:r>
        <w:rPr>
          <w:rFonts w:hint="eastAsia"/>
          <w:color w:val="auto"/>
          <w:lang w:val="en-US" w:eastAsia="zh-CN"/>
        </w:rPr>
        <w:t>六、</w:t>
      </w:r>
      <w:r>
        <w:rPr>
          <w:rFonts w:hint="default"/>
          <w:color w:val="auto"/>
          <w:lang w:val="en-US" w:eastAsia="zh-CN"/>
        </w:rPr>
        <w:t>培训须知</w:t>
      </w:r>
      <w:bookmarkEnd w:id="18"/>
    </w:p>
    <w:p w14:paraId="20BB5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</w:pPr>
      <w:bookmarkStart w:id="19" w:name="_Toc545"/>
      <w:bookmarkStart w:id="20" w:name="_Toc17141"/>
      <w:r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  <w:t>（一）纪律要求</w:t>
      </w:r>
      <w:bookmarkEnd w:id="19"/>
    </w:p>
    <w:p w14:paraId="4EBECB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1" w:name="_Toc25779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1.考勤：学员需提前15分钟签到，迟到、缺勤将影响学时认定，有事须提前向陈波老师请假；现场教学统一行动，严禁私自离队。</w:t>
      </w:r>
      <w:bookmarkEnd w:id="21"/>
    </w:p>
    <w:p w14:paraId="088469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2" w:name="_Toc7872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2.课堂：会场手机调至静音，禁止吸烟、随意交谈，尊重讲师，妥善保管各类培训资料。</w:t>
      </w:r>
      <w:bookmarkEnd w:id="22"/>
    </w:p>
    <w:p w14:paraId="5AD67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3" w:name="_Toc14655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3.集体活动：全员参与合影、现场教学、结业分享；参观厂区沿指定路线行走，不触碰设备，研讨听从组长安排。</w:t>
      </w:r>
      <w:bookmarkEnd w:id="23"/>
    </w:p>
    <w:p w14:paraId="70C938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</w:pPr>
      <w:bookmarkStart w:id="24" w:name="_Toc1531"/>
      <w:r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  <w:t>（二）学习要求</w:t>
      </w:r>
      <w:bookmarkEnd w:id="24"/>
    </w:p>
    <w:p w14:paraId="0291C6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5" w:name="_Toc10383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1.须完整参与全部教学环节，结业提交 原创行业交流材料，研讨主动分享实践思路。</w:t>
      </w:r>
      <w:bookmarkEnd w:id="25"/>
    </w:p>
    <w:p w14:paraId="727C4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6" w:name="_Toc20015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2.研修综合出勤、课堂表现、研讨发言、文稿完成情况考核，全部合格方可发放结业证书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认定继续教育学时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。</w:t>
      </w:r>
      <w:bookmarkEnd w:id="26"/>
    </w:p>
    <w:p w14:paraId="2599E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</w:pPr>
      <w:bookmarkStart w:id="27" w:name="_Toc32294"/>
      <w:r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  <w:t>（三）食宿安排</w:t>
      </w:r>
      <w:bookmarkEnd w:id="27"/>
    </w:p>
    <w:p w14:paraId="1D322E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28" w:name="_Toc28908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培训统一提供免费工作餐；外地学员可向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老师申请住宿，本地（柯城、衢江）学员不安排，往返交通费用自理。如遇天气、师资变动等特殊情况，培训安排另行通知。</w:t>
      </w:r>
      <w:bookmarkEnd w:id="28"/>
    </w:p>
    <w:p w14:paraId="293BD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</w:pPr>
      <w:bookmarkStart w:id="29" w:name="_Toc8462"/>
      <w:r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  <w:t>（四）安全要求</w:t>
      </w:r>
      <w:bookmarkEnd w:id="29"/>
    </w:p>
    <w:p w14:paraId="29A3F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0" w:name="_Toc2855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1.会场安全：请勿堆放背包、水杯等杂物，保障通道畅通，牢记消防通道位置。</w:t>
      </w:r>
      <w:bookmarkEnd w:id="30"/>
    </w:p>
    <w:p w14:paraId="11A54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1" w:name="_Toc25592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2.现场教学安全：进入装配式基地必须佩戴安全帽，身着防滑平底鞋，严禁攀爬设备、翻越护栏。</w:t>
      </w:r>
      <w:bookmarkEnd w:id="31"/>
    </w:p>
    <w:p w14:paraId="0DD582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2" w:name="_Toc21492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3.交通安全：集体研学统一往返，禁止私自单独离队，全程留意出行安全。</w:t>
      </w:r>
      <w:bookmarkEnd w:id="32"/>
    </w:p>
    <w:p w14:paraId="67E73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3" w:name="_Toc14951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4.个人财产安全：个人证件、电子贵重物品自行保管；身体不适或出现安全隐患，立刻联系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老师。</w:t>
      </w:r>
      <w:bookmarkEnd w:id="33"/>
    </w:p>
    <w:p w14:paraId="4D5F8D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</w:pPr>
      <w:bookmarkStart w:id="34" w:name="_Toc13002"/>
      <w:r>
        <w:rPr>
          <w:rFonts w:hint="eastAsia" w:ascii="Times New Roman" w:hAnsi="Times New Roman" w:eastAsia="仿宋_GB2312" w:cs="Times New Roman"/>
          <w:b/>
          <w:bCs/>
          <w:color w:val="000000"/>
          <w:kern w:val="36"/>
          <w:sz w:val="28"/>
          <w:szCs w:val="28"/>
        </w:rPr>
        <w:t>（五）其他事项</w:t>
      </w:r>
      <w:bookmarkEnd w:id="34"/>
    </w:p>
    <w:p w14:paraId="21B51C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5" w:name="_Toc6560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1.考核通过后可线上打印学时证明用于职称申报；</w:t>
      </w:r>
      <w:bookmarkEnd w:id="35"/>
    </w:p>
    <w:p w14:paraId="36241F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</w:pPr>
      <w:bookmarkStart w:id="36" w:name="_Toc15248"/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2.住宿、学时咨询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老师（135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XXXXX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），现场应急联系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老师（177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  <w:lang w:val="en-US" w:eastAsia="zh-CN"/>
        </w:rPr>
        <w:t>XXXXX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28"/>
          <w:szCs w:val="28"/>
        </w:rPr>
        <w:t>）。</w:t>
      </w:r>
      <w:bookmarkEnd w:id="36"/>
    </w:p>
    <w:p w14:paraId="244D5CDA">
      <w:pPr>
        <w:pStyle w:val="2"/>
        <w:bidi w:val="0"/>
        <w:jc w:val="both"/>
        <w:rPr>
          <w:rFonts w:hint="default"/>
          <w:color w:val="auto"/>
          <w:lang w:val="en-US" w:eastAsia="zh-CN"/>
        </w:rPr>
      </w:pPr>
      <w:bookmarkStart w:id="37" w:name="_Toc16149"/>
      <w:r>
        <w:rPr>
          <w:rFonts w:hint="eastAsia"/>
          <w:color w:val="auto"/>
          <w:lang w:val="en-US" w:eastAsia="zh-CN"/>
        </w:rPr>
        <w:t>七、</w:t>
      </w:r>
      <w:r>
        <w:rPr>
          <w:rFonts w:hint="default"/>
          <w:color w:val="auto"/>
          <w:lang w:val="en-US" w:eastAsia="zh-CN"/>
        </w:rPr>
        <w:t>授课专家简介</w:t>
      </w:r>
      <w:bookmarkEnd w:id="20"/>
      <w:bookmarkEnd w:id="37"/>
    </w:p>
    <w:p w14:paraId="7B3B97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姓名、职务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；</w:t>
      </w:r>
    </w:p>
    <w:p w14:paraId="54D9F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荣誉：</w:t>
      </w:r>
    </w:p>
    <w:p w14:paraId="6DE9F7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科研成果：</w:t>
      </w:r>
    </w:p>
    <w:p w14:paraId="3346A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研究方向：</w:t>
      </w:r>
    </w:p>
    <w:p w14:paraId="139C5C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姓名、职务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；</w:t>
      </w:r>
    </w:p>
    <w:p w14:paraId="53EB92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荣誉：</w:t>
      </w:r>
    </w:p>
    <w:p w14:paraId="31A0AD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科研成果：</w:t>
      </w:r>
    </w:p>
    <w:p w14:paraId="424266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研究方向：</w:t>
      </w:r>
    </w:p>
    <w:p w14:paraId="1665B2AB">
      <w:pPr>
        <w:pStyle w:val="2"/>
        <w:bidi w:val="0"/>
        <w:jc w:val="both"/>
        <w:rPr>
          <w:rFonts w:hint="default"/>
          <w:color w:val="auto"/>
          <w:lang w:val="en-US" w:eastAsia="zh-CN"/>
        </w:rPr>
      </w:pPr>
      <w:bookmarkStart w:id="38" w:name="_Toc8649"/>
      <w:bookmarkStart w:id="39" w:name="_Toc29303"/>
      <w:r>
        <w:rPr>
          <w:rFonts w:hint="eastAsia"/>
          <w:color w:val="auto"/>
          <w:lang w:val="en-US" w:eastAsia="zh-CN"/>
        </w:rPr>
        <w:t>八、</w:t>
      </w:r>
      <w:r>
        <w:rPr>
          <w:rFonts w:hint="default"/>
          <w:color w:val="auto"/>
          <w:lang w:val="en-US" w:eastAsia="zh-CN"/>
        </w:rPr>
        <w:t>管理团队</w:t>
      </w:r>
      <w:bookmarkEnd w:id="38"/>
      <w:bookmarkEnd w:id="39"/>
    </w:p>
    <w:tbl>
      <w:tblPr>
        <w:tblStyle w:val="17"/>
        <w:tblW w:w="5024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3"/>
        <w:gridCol w:w="1404"/>
        <w:gridCol w:w="1385"/>
        <w:gridCol w:w="2758"/>
        <w:gridCol w:w="1866"/>
      </w:tblGrid>
      <w:tr w14:paraId="438E59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F6AB3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  <w:t>序号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1334A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D78BB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  <w:t>职称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 w:bidi="zh-TW"/>
              </w:rPr>
              <w:t>/学历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17A2E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  <w:t>职务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247D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 w14:paraId="064F79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FE3E4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  <w:t>1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A7E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DD665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教授/博士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AC9F6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6D07C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  <w:bookmarkStart w:id="46" w:name="_GoBack"/>
            <w:bookmarkEnd w:id="46"/>
          </w:p>
        </w:tc>
      </w:tr>
      <w:tr w14:paraId="47290B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11BA3A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2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9BEDD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58832E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教授/博士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7A997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D3CE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zh-TW" w:eastAsia="zh-CN" w:bidi="zh-TW"/>
              </w:rPr>
            </w:pPr>
          </w:p>
        </w:tc>
      </w:tr>
      <w:tr w14:paraId="753BA9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FAC1BA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3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E6D0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C7F6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副教授/博士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5441A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8B24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</w:tr>
      <w:tr w14:paraId="61EC62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DD52BE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4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BC038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E087A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博士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C190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B8F6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</w:tr>
      <w:tr w14:paraId="7AC6A4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653CE1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5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815CB2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71E801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zh-TW"/>
              </w:rPr>
              <w:t>硕士</w:t>
            </w:r>
          </w:p>
        </w:tc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25AB2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24EA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zh-TW" w:bidi="zh-TW"/>
              </w:rPr>
            </w:pPr>
          </w:p>
        </w:tc>
      </w:tr>
    </w:tbl>
    <w:p w14:paraId="088EB4B6">
      <w:pPr>
        <w:widowControl/>
        <w:spacing w:line="360" w:lineRule="atLeast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</w:p>
    <w:p w14:paraId="3C9E424A">
      <w:pPr>
        <w:rPr>
          <w:rFonts w:hint="default"/>
          <w:color w:val="auto"/>
          <w:lang w:val="en-US" w:eastAsia="zh-CN"/>
        </w:rPr>
      </w:pPr>
      <w:bookmarkStart w:id="40" w:name="_Toc29878"/>
      <w:bookmarkStart w:id="41" w:name="_Toc28852"/>
      <w:r>
        <w:rPr>
          <w:rFonts w:hint="default"/>
          <w:color w:val="auto"/>
          <w:lang w:val="en-US" w:eastAsia="zh-CN"/>
        </w:rPr>
        <w:br w:type="page"/>
      </w:r>
    </w:p>
    <w:p w14:paraId="68B78AA0">
      <w:pPr>
        <w:pStyle w:val="2"/>
        <w:bidi w:val="0"/>
        <w:jc w:val="center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衢州学院简介</w:t>
      </w:r>
      <w:bookmarkEnd w:id="40"/>
      <w:bookmarkEnd w:id="41"/>
    </w:p>
    <w:p w14:paraId="47C691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bookmarkStart w:id="42" w:name="_Toc11234"/>
      <w:bookmarkStart w:id="43" w:name="_Toc30274"/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衢州学院是一所以工为主、多学科协调发展、具有硕士学位授予权的公办全日制应用型高校。学校前身为创办于1985年的浙江工学院浙西分校（1993年更名为浙江工业大学浙西分校），师范教育沿革于衢州师范学校、衢州市教师进修学校（浙江师范大学衢州进修部）。2010年，教育部批准同意在浙江工业大学浙西分校的基础上建立衢州学院。学校于2013年获批为国家级大学生创新创业训练计划高校，2015年入选浙江省应用型建设试点示范学校，2018年顺利通过教育部本科教学工作合格评估，2021年被列为教育部新一轮本科教育教学审核评估试点院校，2024年获批硕士学位授予单位及材料与化工、机械、教育硕士学位授权点。</w:t>
      </w:r>
    </w:p>
    <w:p w14:paraId="2D0CE83A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55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学校坐落于素有“南孔圣地”之称的国家历史文化名城衢州，校园占地867亩，设有10个学院（部），开设7大学科门类的本科专业3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个，现有全日制普通本专科学生10000余人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woUserID w:val="1"/>
        </w:rPr>
        <w:t>教职员工8</w:t>
      </w:r>
      <w:r>
        <w:rPr>
          <w:rFonts w:hint="default" w:ascii="仿宋_GB2312" w:hAnsi="仿宋_GB2312" w:eastAsia="仿宋_GB2312" w:cs="仿宋_GB2312"/>
          <w:color w:val="auto"/>
          <w:sz w:val="32"/>
          <w:szCs w:val="40"/>
          <w:woUserID w:val="1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  <w:woUserID w:val="1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woUserID w:val="1"/>
        </w:rPr>
        <w:t>人，其中正高级职称教师</w:t>
      </w:r>
      <w:r>
        <w:rPr>
          <w:rFonts w:hint="default" w:ascii="仿宋_GB2312" w:hAnsi="仿宋_GB2312" w:eastAsia="仿宋_GB2312" w:cs="仿宋_GB2312"/>
          <w:color w:val="auto"/>
          <w:sz w:val="32"/>
          <w:szCs w:val="40"/>
          <w:woUserID w:val="1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  <w:woUserID w:val="1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woUserID w:val="1"/>
        </w:rPr>
        <w:t>人、副高级职称教师22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  <w:woUserID w:val="1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woUserID w:val="1"/>
        </w:rPr>
        <w:t>人，具有博士学位教师3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  <w:woUserID w:val="1"/>
        </w:rPr>
        <w:t>67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woUserID w:val="1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拥有国家级一流本科专业1个、一流本科课程5门，省级一流学科5个、一流本科专业11个、优势特色专业6个、一流课程116门，入选中职与应用型本科一体化培养试点专业5个。校舍总建筑面积28.28万平方米，教学科研仪器设备资产总值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亿元，馆藏纸质图书123万余册。</w:t>
      </w:r>
    </w:p>
    <w:p w14:paraId="222EC9B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阶段新起点，学校将深入学习贯彻党的二十届四中全会、全国教育大会和省委、市委全会精神，在学校第三次党代会精神的指引下，抢抓教育强国、教育强省建设新机遇，聚力争创“双优”，实施“强本增硕、创大荣城”战略，致力“上水平、创特色、强应用”，以服务求发展、以特色求跃升，为加快建设高水平特色鲜明的应用型大学接续奋斗。</w:t>
      </w:r>
    </w:p>
    <w:p w14:paraId="6450CD46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 w14:paraId="00DD4AF6">
      <w:pPr>
        <w:pStyle w:val="2"/>
        <w:bidi w:val="0"/>
        <w:ind w:left="0" w:leftChars="0" w:firstLine="0" w:firstLineChars="0"/>
        <w:jc w:val="center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衢州学院终身教育中心（美丽经济学院）</w:t>
      </w:r>
      <w:bookmarkEnd w:id="42"/>
      <w:bookmarkEnd w:id="43"/>
      <w:r>
        <w:rPr>
          <w:rFonts w:hint="eastAsia"/>
          <w:color w:val="auto"/>
          <w:lang w:val="en-US" w:eastAsia="zh-CN"/>
        </w:rPr>
        <w:t>简介</w:t>
      </w:r>
    </w:p>
    <w:p w14:paraId="6D9E39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bookmarkStart w:id="44" w:name="_Toc19130"/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一、机构概况</w:t>
      </w:r>
    </w:p>
    <w:p w14:paraId="45492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衢州学院终身教育中心、美丽经济学院合署办公，2019年12月成立，同步运营浙江未来乡村学院，统筹学历继续教育、社会培训、校地融合三大业务。秉持“深研美丽、乐引产业”理念，依托校内工科、科创资源，践行“1411”共富模式，承担专业技术研修、乡村振兴、企业数字化等智库培训服务。</w:t>
      </w:r>
    </w:p>
    <w:p w14:paraId="3956AA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组织架构</w:t>
      </w:r>
    </w:p>
    <w:p w14:paraId="2F6D57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衢州学院终身教育中心（美丽经济学院）内设综合办公室和业务科，统筹行政、招生、培训、学时与证书全流程管理；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美丽经济学院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下设幸福产业研究中心、地方文化研究中心、景观规划设计中心、运动康养研究中心、乡村振兴培训中心等五大特色研究服务中心。实体运营浙江未来乡村学院，配套专家咨询委员会、实践教学基地及校地融合工作组，支撑各类培训与校地服务落地。</w:t>
      </w:r>
    </w:p>
    <w:p w14:paraId="6045E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（二）核心职能</w:t>
      </w:r>
    </w:p>
    <w:p w14:paraId="6245C1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1.依托“浙江省专业技术人才继续教育基地”，承办省、市级高研班、单位定制培训，负责学时认定与证书发放；</w:t>
      </w:r>
    </w:p>
    <w:p w14:paraId="2915F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2.统筹成人学历教育，开展招生、教学、学籍、毕业及学位申报工作；</w:t>
      </w:r>
    </w:p>
    <w:p w14:paraId="49DEB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3.搭建校地共同体，承接产业规划、文创、运营咨询等智库服务；</w:t>
      </w:r>
    </w:p>
    <w:p w14:paraId="00AE5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4.面向青少年、农户、中老年开设普惠公益培训课堂；</w:t>
      </w:r>
    </w:p>
    <w:p w14:paraId="5C616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5.整合校内专家资源，提供技术诊断、课题转化、成果落地一站式服务。</w:t>
      </w:r>
    </w:p>
    <w:p w14:paraId="7DA761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（三）核心服务优势</w:t>
      </w:r>
    </w:p>
    <w:p w14:paraId="47F722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依托学校硕士学位授予资质、367名博士师资、145家校地博士创新站与11个省部级科创平台，构建“授课+研学+课题+落地”全链条特色服务体系。本中心集短期赋能培训、长期学历提升、深度校地智库三大服务于一体，面向机关、企业、村镇、技术从业者、创业群体及广大群众提供分层分类终身学习方案。培训课程、时长、研学路线均可按需定制；学历教育布局浙西、浙北教学点，适配在职人员学习节奏；智库依托博士团队提供产业规划、文创研发、技术成果转化等深度服务，聚力支撑四省边际共同富裕示范区建设，构筑本地化、专业化一站式终身学习综合平台。</w:t>
      </w:r>
    </w:p>
    <w:p w14:paraId="07C24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二、非学历社会服务业务（定制培训）</w:t>
      </w:r>
    </w:p>
    <w:p w14:paraId="79E50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表1非学历培训业务分类、服务内容、交付成果</w:t>
      </w:r>
    </w:p>
    <w:tbl>
      <w:tblPr>
        <w:tblStyle w:val="17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594"/>
        <w:gridCol w:w="2732"/>
        <w:gridCol w:w="1808"/>
      </w:tblGrid>
      <w:tr w14:paraId="3FFF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4" w:type="pct"/>
            <w:vAlign w:val="center"/>
          </w:tcPr>
          <w:p w14:paraId="32AB7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业务大类</w:t>
            </w:r>
          </w:p>
        </w:tc>
        <w:tc>
          <w:tcPr>
            <w:tcW w:w="1547" w:type="pct"/>
            <w:vAlign w:val="center"/>
          </w:tcPr>
          <w:p w14:paraId="3D993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细分培训项目</w:t>
            </w:r>
          </w:p>
        </w:tc>
        <w:tc>
          <w:tcPr>
            <w:tcW w:w="1629" w:type="pct"/>
            <w:vAlign w:val="center"/>
          </w:tcPr>
          <w:p w14:paraId="6744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可定制服务内容</w:t>
            </w:r>
          </w:p>
        </w:tc>
        <w:tc>
          <w:tcPr>
            <w:tcW w:w="1078" w:type="pct"/>
            <w:vAlign w:val="center"/>
          </w:tcPr>
          <w:p w14:paraId="1FF45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交付配套成果</w:t>
            </w:r>
          </w:p>
        </w:tc>
      </w:tr>
      <w:tr w14:paraId="673B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1AA30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专业技术人才研修</w:t>
            </w:r>
          </w:p>
        </w:tc>
        <w:tc>
          <w:tcPr>
            <w:tcW w:w="1547" w:type="pct"/>
            <w:vAlign w:val="center"/>
          </w:tcPr>
          <w:p w14:paraId="4AA1C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化工新材料、电气智能化、工程机器人、数字工程师、智慧城市、智能建造、BIM、数字孪生、市政智慧运维、等</w:t>
            </w:r>
          </w:p>
        </w:tc>
        <w:tc>
          <w:tcPr>
            <w:tcW w:w="1629" w:type="pct"/>
            <w:vAlign w:val="center"/>
          </w:tcPr>
          <w:p w14:paraId="6B8DB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1-3 天封闭式高研班；企业技术专班；行业前沿专家授课；装配式工厂；分组技术研讨</w:t>
            </w:r>
          </w:p>
        </w:tc>
        <w:tc>
          <w:tcPr>
            <w:tcW w:w="1078" w:type="pct"/>
            <w:vAlign w:val="center"/>
          </w:tcPr>
          <w:p w14:paraId="1D5F7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省级 36 继续教育学时认定；研修结业证书；学员交流材料汇编</w:t>
            </w:r>
          </w:p>
        </w:tc>
      </w:tr>
      <w:tr w14:paraId="4AC7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2ECC2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乡村振兴专题培训</w:t>
            </w:r>
          </w:p>
        </w:tc>
        <w:tc>
          <w:tcPr>
            <w:tcW w:w="1547" w:type="pct"/>
            <w:vAlign w:val="center"/>
          </w:tcPr>
          <w:p w14:paraId="140A1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千万工程实操、乡村运营、农创客孵化、农村电商、农特产品品牌打造、未来社区规划、基层乡村治理</w:t>
            </w:r>
          </w:p>
        </w:tc>
        <w:tc>
          <w:tcPr>
            <w:tcW w:w="1629" w:type="pct"/>
            <w:vAlign w:val="center"/>
          </w:tcPr>
          <w:p w14:paraId="5EAE3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乡村实地研学；IP 文创设计；村集体产业方案撰写；青年创业沙龙；新型农民技能实训</w:t>
            </w:r>
          </w:p>
        </w:tc>
        <w:tc>
          <w:tcPr>
            <w:tcW w:w="1078" w:type="pct"/>
            <w:vAlign w:val="center"/>
          </w:tcPr>
          <w:p w14:paraId="7CF2A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培训结业证书；调研报告；产业优化简易方案</w:t>
            </w:r>
          </w:p>
        </w:tc>
      </w:tr>
      <w:tr w14:paraId="0BC6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1BEC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党政干部综合轮训</w:t>
            </w:r>
          </w:p>
        </w:tc>
        <w:tc>
          <w:tcPr>
            <w:tcW w:w="1547" w:type="pct"/>
            <w:vAlign w:val="center"/>
          </w:tcPr>
          <w:p w14:paraId="22E87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基层治理、党建联建、数字化政务、文旅产业运营、公务礼仪、共富示范区建设</w:t>
            </w:r>
          </w:p>
        </w:tc>
        <w:tc>
          <w:tcPr>
            <w:tcW w:w="1629" w:type="pct"/>
            <w:vAlign w:val="center"/>
          </w:tcPr>
          <w:p w14:paraId="3E362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红色研学、基层示范点参访、政策解读座谈、专题研讨班</w:t>
            </w:r>
          </w:p>
        </w:tc>
        <w:tc>
          <w:tcPr>
            <w:tcW w:w="1078" w:type="pct"/>
            <w:vAlign w:val="center"/>
          </w:tcPr>
          <w:p w14:paraId="7A7F0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干部培训结业证书、学习台账</w:t>
            </w:r>
          </w:p>
        </w:tc>
      </w:tr>
      <w:tr w14:paraId="5141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328D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企业经营管理培训</w:t>
            </w:r>
          </w:p>
        </w:tc>
        <w:tc>
          <w:tcPr>
            <w:tcW w:w="1547" w:type="pct"/>
            <w:vAlign w:val="center"/>
          </w:tcPr>
          <w:p w14:paraId="6823B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工程项目管理、数字化转型、安全生产、商业模式创新、团队数字化管理</w:t>
            </w:r>
          </w:p>
        </w:tc>
        <w:tc>
          <w:tcPr>
            <w:tcW w:w="1629" w:type="pct"/>
            <w:vAlign w:val="center"/>
          </w:tcPr>
          <w:p w14:paraId="1299F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企业上门内训；高管专题沙龙；企业技术问诊；长期系列轮训</w:t>
            </w:r>
          </w:p>
        </w:tc>
        <w:tc>
          <w:tcPr>
            <w:tcW w:w="1078" w:type="pct"/>
            <w:vAlign w:val="center"/>
          </w:tcPr>
          <w:p w14:paraId="3357D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企业专属结业证书、培训总结报告</w:t>
            </w:r>
          </w:p>
        </w:tc>
      </w:tr>
      <w:tr w14:paraId="17A7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25553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普惠公益服务</w:t>
            </w:r>
          </w:p>
        </w:tc>
        <w:tc>
          <w:tcPr>
            <w:tcW w:w="1547" w:type="pct"/>
            <w:vAlign w:val="center"/>
          </w:tcPr>
          <w:p w14:paraId="17157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南孔学堂少儿美育、中老年体医融合、教师教研提升、新型农民技能、社区智能生活普及</w:t>
            </w:r>
          </w:p>
        </w:tc>
        <w:tc>
          <w:tcPr>
            <w:tcW w:w="1629" w:type="pct"/>
            <w:vAlign w:val="center"/>
          </w:tcPr>
          <w:p w14:paraId="0FA21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常态化公益课堂、周末研学、免费技能实训、社区公益讲座</w:t>
            </w:r>
          </w:p>
        </w:tc>
        <w:tc>
          <w:tcPr>
            <w:tcW w:w="1078" w:type="pct"/>
            <w:vAlign w:val="center"/>
          </w:tcPr>
          <w:p w14:paraId="68870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公益培训参与证明</w:t>
            </w:r>
          </w:p>
        </w:tc>
      </w:tr>
      <w:tr w14:paraId="596E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pct"/>
            <w:vAlign w:val="center"/>
          </w:tcPr>
          <w:p w14:paraId="235BD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特色现场教学服务</w:t>
            </w:r>
          </w:p>
        </w:tc>
        <w:tc>
          <w:tcPr>
            <w:tcW w:w="1547" w:type="pct"/>
            <w:vAlign w:val="center"/>
          </w:tcPr>
          <w:p w14:paraId="7E62C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装配式建筑产业园、未来乡村示范村、数字高速管控平台、文创 IP 基地、古工程保护基地</w:t>
            </w:r>
          </w:p>
        </w:tc>
        <w:tc>
          <w:tcPr>
            <w:tcW w:w="1629" w:type="pct"/>
            <w:vAlign w:val="center"/>
          </w:tcPr>
          <w:p w14:paraId="4E87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定制参观路线、现场工程师讲解、实操观摩、校企对接座谈</w:t>
            </w:r>
          </w:p>
        </w:tc>
        <w:tc>
          <w:tcPr>
            <w:tcW w:w="1078" w:type="pct"/>
            <w:vAlign w:val="center"/>
          </w:tcPr>
          <w:p w14:paraId="74329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现场教学纪实、参访学习材料</w:t>
            </w:r>
          </w:p>
        </w:tc>
      </w:tr>
    </w:tbl>
    <w:p w14:paraId="0A1E7A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培训业务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CD30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办公咨询：0570-8015041</w:t>
      </w:r>
    </w:p>
    <w:p w14:paraId="1CCF4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王老师：13819017739</w:t>
      </w:r>
    </w:p>
    <w:p w14:paraId="04E91F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三、成人高等学历提升业务</w:t>
      </w:r>
    </w:p>
    <w:p w14:paraId="5E3FB1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表2学历提升专业、学制、学习模式、收费标准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214"/>
        <w:gridCol w:w="921"/>
        <w:gridCol w:w="1344"/>
        <w:gridCol w:w="800"/>
        <w:gridCol w:w="1555"/>
      </w:tblGrid>
      <w:tr w14:paraId="44AD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1" w:type="dxa"/>
            <w:vAlign w:val="center"/>
          </w:tcPr>
          <w:p w14:paraId="0D88E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学历层次</w:t>
            </w:r>
          </w:p>
        </w:tc>
        <w:tc>
          <w:tcPr>
            <w:tcW w:w="2250" w:type="dxa"/>
            <w:vAlign w:val="center"/>
          </w:tcPr>
          <w:p w14:paraId="7A03A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开设专业</w:t>
            </w:r>
          </w:p>
        </w:tc>
        <w:tc>
          <w:tcPr>
            <w:tcW w:w="926" w:type="dxa"/>
            <w:vAlign w:val="center"/>
          </w:tcPr>
          <w:p w14:paraId="1DAD9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1359" w:type="dxa"/>
            <w:vAlign w:val="center"/>
          </w:tcPr>
          <w:p w14:paraId="43DFA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学习模式</w:t>
            </w:r>
          </w:p>
        </w:tc>
        <w:tc>
          <w:tcPr>
            <w:tcW w:w="802" w:type="dxa"/>
            <w:vAlign w:val="center"/>
          </w:tcPr>
          <w:p w14:paraId="61713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学费</w:t>
            </w:r>
          </w:p>
        </w:tc>
        <w:tc>
          <w:tcPr>
            <w:tcW w:w="1575" w:type="dxa"/>
            <w:vAlign w:val="center"/>
          </w:tcPr>
          <w:p w14:paraId="5D38C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毕业配套</w:t>
            </w:r>
          </w:p>
        </w:tc>
      </w:tr>
      <w:tr w14:paraId="564D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vAlign w:val="center"/>
          </w:tcPr>
          <w:p w14:paraId="69351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专升本</w:t>
            </w:r>
          </w:p>
          <w:p w14:paraId="5D34D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（理工类）</w:t>
            </w:r>
          </w:p>
        </w:tc>
        <w:tc>
          <w:tcPr>
            <w:tcW w:w="2250" w:type="dxa"/>
            <w:vAlign w:val="center"/>
          </w:tcPr>
          <w:p w14:paraId="3EFB6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土木工程、电气工程及其自动化、化学工程与工艺、环境工程</w:t>
            </w:r>
          </w:p>
        </w:tc>
        <w:tc>
          <w:tcPr>
            <w:tcW w:w="926" w:type="dxa"/>
            <w:vAlign w:val="center"/>
          </w:tcPr>
          <w:p w14:paraId="2F4CB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2.5年，最长5年</w:t>
            </w:r>
          </w:p>
        </w:tc>
        <w:tc>
          <w:tcPr>
            <w:tcW w:w="1359" w:type="dxa"/>
            <w:vAlign w:val="center"/>
          </w:tcPr>
          <w:p w14:paraId="1C3F3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线上网课+校本部/教学点周末、晚间面授</w:t>
            </w:r>
          </w:p>
        </w:tc>
        <w:tc>
          <w:tcPr>
            <w:tcW w:w="802" w:type="dxa"/>
            <w:vAlign w:val="center"/>
          </w:tcPr>
          <w:p w14:paraId="48E3F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3000元/年</w:t>
            </w:r>
          </w:p>
        </w:tc>
        <w:tc>
          <w:tcPr>
            <w:tcW w:w="1575" w:type="dxa"/>
            <w:vAlign w:val="center"/>
          </w:tcPr>
          <w:p w14:paraId="0839E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教育部电子注册本科毕业证，符合条件授予学士学位</w:t>
            </w:r>
          </w:p>
        </w:tc>
      </w:tr>
      <w:tr w14:paraId="77F30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vAlign w:val="center"/>
          </w:tcPr>
          <w:p w14:paraId="0BCFA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高起专</w:t>
            </w:r>
          </w:p>
          <w:p w14:paraId="194E3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（理工类）</w:t>
            </w:r>
          </w:p>
        </w:tc>
        <w:tc>
          <w:tcPr>
            <w:tcW w:w="2250" w:type="dxa"/>
            <w:vAlign w:val="center"/>
          </w:tcPr>
          <w:p w14:paraId="5EBE0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应用化工技术</w:t>
            </w:r>
          </w:p>
        </w:tc>
        <w:tc>
          <w:tcPr>
            <w:tcW w:w="926" w:type="dxa"/>
            <w:vAlign w:val="center"/>
          </w:tcPr>
          <w:p w14:paraId="78DBC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2.5年，最长5年</w:t>
            </w:r>
          </w:p>
        </w:tc>
        <w:tc>
          <w:tcPr>
            <w:tcW w:w="1359" w:type="dxa"/>
            <w:vAlign w:val="center"/>
          </w:tcPr>
          <w:p w14:paraId="29774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线上网课+线下集中授课</w:t>
            </w:r>
          </w:p>
        </w:tc>
        <w:tc>
          <w:tcPr>
            <w:tcW w:w="802" w:type="dxa"/>
            <w:vAlign w:val="center"/>
          </w:tcPr>
          <w:p w14:paraId="76018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3000元/年</w:t>
            </w:r>
          </w:p>
        </w:tc>
        <w:tc>
          <w:tcPr>
            <w:tcW w:w="1575" w:type="dxa"/>
            <w:vAlign w:val="center"/>
          </w:tcPr>
          <w:p w14:paraId="44032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教育部电子注册专科毕业证</w:t>
            </w:r>
          </w:p>
        </w:tc>
      </w:tr>
    </w:tbl>
    <w:p w14:paraId="363C2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招生政策说明：</w:t>
      </w:r>
    </w:p>
    <w:p w14:paraId="365AD1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1.报考条件：专升本需国民教育系列专科及以上学历；高起专需高中 / 中专同等学力；外省考生需浙江居住证或本地社保证明；</w:t>
      </w:r>
    </w:p>
    <w:p w14:paraId="0021CD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2.录取优惠：25周岁以上、少数民族、市级以上荣誉获得者加20分；自谋退役士兵加10分；退役军人专升本可免试入学；</w:t>
      </w:r>
    </w:p>
    <w:p w14:paraId="38036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3.报考流程：每年9月省考试院线上报名→10月成人高考→11月志愿确认→12月录取→次年3月注册入学；</w:t>
      </w:r>
    </w:p>
    <w:p w14:paraId="277CCA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4.缴费规则：分三年缴纳，统一政务平台缴费，教学点不得代收学费。</w:t>
      </w:r>
    </w:p>
    <w:p w14:paraId="389BF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表3校外教学点分布及联络方式</w:t>
      </w:r>
    </w:p>
    <w:tbl>
      <w:tblPr>
        <w:tblStyle w:val="17"/>
        <w:tblW w:w="49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9"/>
        <w:gridCol w:w="3413"/>
        <w:gridCol w:w="1470"/>
        <w:gridCol w:w="1561"/>
      </w:tblGrid>
      <w:tr w14:paraId="19E0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tblHeader/>
        </w:trPr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C76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教学点所在地</w:t>
            </w:r>
          </w:p>
        </w:tc>
        <w:tc>
          <w:tcPr>
            <w:tcW w:w="206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9B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教学点全称</w:t>
            </w:r>
          </w:p>
        </w:tc>
        <w:tc>
          <w:tcPr>
            <w:tcW w:w="8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14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对接老师</w:t>
            </w:r>
          </w:p>
        </w:tc>
        <w:tc>
          <w:tcPr>
            <w:tcW w:w="9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2D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14:paraId="3B74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AE5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衢州龙游</w:t>
            </w:r>
          </w:p>
        </w:tc>
        <w:tc>
          <w:tcPr>
            <w:tcW w:w="206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FD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龙游县修齐咸人文化教育培训学校校外教学点</w:t>
            </w:r>
          </w:p>
        </w:tc>
        <w:tc>
          <w:tcPr>
            <w:tcW w:w="8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79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邹老师</w:t>
            </w:r>
          </w:p>
        </w:tc>
        <w:tc>
          <w:tcPr>
            <w:tcW w:w="9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A3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13735070948</w:t>
            </w:r>
          </w:p>
        </w:tc>
      </w:tr>
      <w:tr w14:paraId="4EB80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6F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杭州临安</w:t>
            </w:r>
          </w:p>
        </w:tc>
        <w:tc>
          <w:tcPr>
            <w:tcW w:w="206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E1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杭州市临安区名淘教育培训</w:t>
            </w:r>
          </w:p>
          <w:p w14:paraId="61FE8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学校校外教学点</w:t>
            </w:r>
          </w:p>
        </w:tc>
        <w:tc>
          <w:tcPr>
            <w:tcW w:w="8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6C0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卜老师</w:t>
            </w:r>
          </w:p>
        </w:tc>
        <w:tc>
          <w:tcPr>
            <w:tcW w:w="9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0CE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15858111564</w:t>
            </w:r>
          </w:p>
        </w:tc>
      </w:tr>
      <w:tr w14:paraId="4627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11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嘉兴秀洲</w:t>
            </w:r>
          </w:p>
        </w:tc>
        <w:tc>
          <w:tcPr>
            <w:tcW w:w="206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9BB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嘉兴市秀洲区畅仁教育培训</w:t>
            </w:r>
          </w:p>
          <w:p w14:paraId="08714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学校校外教学点</w:t>
            </w:r>
          </w:p>
        </w:tc>
        <w:tc>
          <w:tcPr>
            <w:tcW w:w="89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B58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徐老师</w:t>
            </w:r>
          </w:p>
        </w:tc>
        <w:tc>
          <w:tcPr>
            <w:tcW w:w="9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2EB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13221383963</w:t>
            </w:r>
          </w:p>
        </w:tc>
      </w:tr>
    </w:tbl>
    <w:p w14:paraId="1A739F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学历教育联系方式：：</w:t>
      </w:r>
    </w:p>
    <w:p w14:paraId="22107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招生、学籍、毕业咨询：毛老师0570-8015051</w:t>
      </w:r>
    </w:p>
    <w:p w14:paraId="6FA717B5">
      <w:pPr>
        <w:pStyle w:val="2"/>
        <w:bidi w:val="0"/>
        <w:jc w:val="center"/>
        <w:rPr>
          <w:rFonts w:hint="default"/>
          <w:color w:val="auto"/>
          <w:lang w:val="en-US" w:eastAsia="zh-CN"/>
        </w:rPr>
      </w:pPr>
      <w:bookmarkStart w:id="45" w:name="_Toc18553"/>
      <w:r>
        <w:rPr>
          <w:rFonts w:hint="default"/>
          <w:color w:val="auto"/>
          <w:lang w:val="en-US" w:eastAsia="zh-CN"/>
        </w:rPr>
        <w:t>课程学习笔记</w:t>
      </w:r>
      <w:bookmarkEnd w:id="44"/>
      <w:bookmarkEnd w:id="45"/>
    </w:p>
    <w:tbl>
      <w:tblPr>
        <w:tblStyle w:val="18"/>
        <w:tblpPr w:leftFromText="180" w:rightFromText="180" w:vertAnchor="text" w:horzAnchor="page" w:tblpXSpec="center" w:tblpY="106"/>
        <w:tblOverlap w:val="never"/>
        <w:tblW w:w="9180" w:type="dxa"/>
        <w:jc w:val="center"/>
        <w:tblBorders>
          <w:top w:val="single" w:color="3F3F3F" w:themeColor="text1" w:themeTint="BF" w:sz="4" w:space="0"/>
          <w:left w:val="none" w:color="auto" w:sz="0" w:space="0"/>
          <w:bottom w:val="single" w:color="3F3F3F" w:themeColor="text1" w:themeTint="BF" w:sz="4" w:space="0"/>
          <w:right w:val="none" w:color="auto" w:sz="0" w:space="0"/>
          <w:insideH w:val="single" w:color="3F3F3F" w:themeColor="text1" w:themeTint="BF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DF52C57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65AA192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5521D65F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op w:val="single" w:color="auto" w:sz="4" w:space="0"/>
              <w:tl2br w:val="nil"/>
              <w:tr2bl w:val="nil"/>
            </w:tcBorders>
          </w:tcPr>
          <w:p w14:paraId="51B2D853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76E0E59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E29DBC6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F95B56E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2CD3ACB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60BF841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3D5E2BB5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9F63E2E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2E3A3454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39FE87B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6BC1F03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7546C4C4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4A83D5B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50B6E75C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36F78505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7EE9F98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13D68665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636E759E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86D47F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E0F6BDB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1FA312A8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38298FA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0A98C92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753B579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43383CB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66DD91B8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165BBAB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357786B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5D2C30C2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7327F278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DB3509A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106BF47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5E8DCD38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361DBFF8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AE4C9C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5D7C2CE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2E5A6908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5B1BBF2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FD26676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3B4615A6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E840F26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15549DD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bottom w:val="single" w:color="auto" w:sz="4" w:space="0"/>
              <w:tl2br w:val="nil"/>
              <w:tr2bl w:val="nil"/>
            </w:tcBorders>
          </w:tcPr>
          <w:p w14:paraId="0AB949EA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</w:tbl>
    <w:p w14:paraId="691A931A">
      <w:pPr>
        <w:widowControl/>
        <w:spacing w:line="360" w:lineRule="atLeast"/>
        <w:jc w:val="left"/>
        <w:outlineLvl w:val="1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18"/>
        <w:tblpPr w:leftFromText="180" w:rightFromText="180" w:vertAnchor="text" w:horzAnchor="page" w:tblpXSpec="center" w:tblpY="106"/>
        <w:tblOverlap w:val="never"/>
        <w:tblW w:w="9180" w:type="dxa"/>
        <w:jc w:val="center"/>
        <w:tblBorders>
          <w:top w:val="single" w:color="3F3F3F" w:themeColor="text1" w:themeTint="BF" w:sz="4" w:space="0"/>
          <w:left w:val="none" w:color="auto" w:sz="0" w:space="0"/>
          <w:bottom w:val="single" w:color="3F3F3F" w:themeColor="text1" w:themeTint="BF" w:sz="4" w:space="0"/>
          <w:right w:val="none" w:color="auto" w:sz="0" w:space="0"/>
          <w:insideH w:val="single" w:color="3F3F3F" w:themeColor="text1" w:themeTint="BF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0D7A5F1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op w:val="single" w:color="auto" w:sz="4" w:space="0"/>
            </w:tcBorders>
          </w:tcPr>
          <w:p w14:paraId="2CBB137D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3A0052C7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FA72BE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BD2CFE4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16F050E6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93D73DA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9B19098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96BED34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290EB9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68541672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2521585C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75BE9C6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1CB3D01A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CF9E85B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344F35E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7383FAC1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32C15689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F8D6DD7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0E40EAB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579C8CD4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6F265722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CE2DE91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56CE99E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0FA4340F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85E2752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8F86B04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244AEDBD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467C016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4D06F2C3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E4319D1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51B2C17B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9223C6C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DEA5E96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16661809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CA5707F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6B820A1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2E12AC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72C55520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1EFC6C8C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24284FA3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7442897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5843A9BB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79839691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40512996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tl2br w:val="nil"/>
              <w:tr2bl w:val="nil"/>
            </w:tcBorders>
          </w:tcPr>
          <w:p w14:paraId="03276D61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  <w:tr w14:paraId="3025E926">
        <w:tblPrEx>
          <w:tblBorders>
            <w:top w:val="single" w:color="3F3F3F" w:themeColor="text1" w:themeTint="BF" w:sz="4" w:space="0"/>
            <w:left w:val="none" w:color="auto" w:sz="0" w:space="0"/>
            <w:bottom w:val="single" w:color="3F3F3F" w:themeColor="text1" w:themeTint="BF" w:sz="4" w:space="0"/>
            <w:right w:val="none" w:color="auto" w:sz="0" w:space="0"/>
            <w:insideH w:val="single" w:color="3F3F3F" w:themeColor="text1" w:themeTint="BF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180" w:type="dxa"/>
            <w:tcBorders>
              <w:bottom w:val="single" w:color="auto" w:sz="4" w:space="0"/>
              <w:tl2br w:val="nil"/>
              <w:tr2bl w:val="nil"/>
            </w:tcBorders>
          </w:tcPr>
          <w:p w14:paraId="3FCB4FC8">
            <w:pPr>
              <w:rPr>
                <w:rFonts w:hint="default" w:ascii="Times New Roman" w:hAnsi="Times New Roman" w:cs="Times New Roman" w:eastAsiaTheme="minorEastAsia"/>
                <w:color w:val="auto"/>
              </w:rPr>
            </w:pPr>
          </w:p>
        </w:tc>
      </w:tr>
    </w:tbl>
    <w:p w14:paraId="68AC7E9B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1A705">
    <w:pPr>
      <w:pStyle w:val="11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D2915">
    <w:pPr>
      <w:pStyle w:val="11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7AA3F">
                          <w:pPr>
                            <w:pStyle w:val="11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7AA3F">
                    <w:pPr>
                      <w:pStyle w:val="11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5A"/>
    <w:rsid w:val="000102A4"/>
    <w:rsid w:val="00071313"/>
    <w:rsid w:val="00150944"/>
    <w:rsid w:val="00155ED3"/>
    <w:rsid w:val="00161367"/>
    <w:rsid w:val="002E721D"/>
    <w:rsid w:val="003828BE"/>
    <w:rsid w:val="003A0DF4"/>
    <w:rsid w:val="00437C0B"/>
    <w:rsid w:val="00450008"/>
    <w:rsid w:val="004A0B18"/>
    <w:rsid w:val="0056372E"/>
    <w:rsid w:val="005751D4"/>
    <w:rsid w:val="005C3F7E"/>
    <w:rsid w:val="00660497"/>
    <w:rsid w:val="00786523"/>
    <w:rsid w:val="007B53A6"/>
    <w:rsid w:val="007F4CDC"/>
    <w:rsid w:val="008C475A"/>
    <w:rsid w:val="00912266"/>
    <w:rsid w:val="00A4094E"/>
    <w:rsid w:val="00A75BF9"/>
    <w:rsid w:val="00AA76A5"/>
    <w:rsid w:val="00AD0376"/>
    <w:rsid w:val="00BD40D1"/>
    <w:rsid w:val="00C27CDC"/>
    <w:rsid w:val="00CC43C7"/>
    <w:rsid w:val="00DA7587"/>
    <w:rsid w:val="00E1585D"/>
    <w:rsid w:val="00E34D7E"/>
    <w:rsid w:val="00E676D8"/>
    <w:rsid w:val="00F602E3"/>
    <w:rsid w:val="00FF5C75"/>
    <w:rsid w:val="05C47F33"/>
    <w:rsid w:val="091D4874"/>
    <w:rsid w:val="0A443C93"/>
    <w:rsid w:val="0C9C3E1C"/>
    <w:rsid w:val="0FC32294"/>
    <w:rsid w:val="11762BB8"/>
    <w:rsid w:val="137C45A9"/>
    <w:rsid w:val="15CF16A7"/>
    <w:rsid w:val="181909FA"/>
    <w:rsid w:val="18B91BD2"/>
    <w:rsid w:val="1CA525D5"/>
    <w:rsid w:val="1CF64DC5"/>
    <w:rsid w:val="20D86A8B"/>
    <w:rsid w:val="21AB0340"/>
    <w:rsid w:val="28E04889"/>
    <w:rsid w:val="35BC6B4E"/>
    <w:rsid w:val="3D1E60F3"/>
    <w:rsid w:val="47A44BA7"/>
    <w:rsid w:val="55F45097"/>
    <w:rsid w:val="62D046AC"/>
    <w:rsid w:val="6A38782E"/>
    <w:rsid w:val="762B7646"/>
    <w:rsid w:val="7C682DEB"/>
    <w:rsid w:val="7F00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120" w:after="120" w:line="520" w:lineRule="exact"/>
      <w:ind w:firstLine="880" w:firstLineChars="200"/>
      <w:jc w:val="left"/>
      <w:outlineLvl w:val="0"/>
    </w:pPr>
    <w:rPr>
      <w:rFonts w:eastAsia="黑体" w:asciiTheme="majorAscii" w:hAnsiTheme="majorAscii" w:cstheme="majorBidi"/>
      <w:b/>
      <w:color w:val="2F5597" w:themeColor="accent1" w:themeShade="BF"/>
      <w:sz w:val="32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semiHidden/>
    <w:unhideWhenUsed/>
    <w:qFormat/>
    <w:uiPriority w:val="39"/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2"/>
    <w:qFormat/>
    <w:uiPriority w:val="9"/>
    <w:rPr>
      <w:rFonts w:eastAsia="黑体" w:asciiTheme="majorAscii" w:hAnsiTheme="majorAscii" w:cstheme="majorBidi"/>
      <w:b/>
      <w:color w:val="2F5597" w:themeColor="accent1" w:themeShade="BF"/>
      <w:sz w:val="32"/>
      <w:szCs w:val="48"/>
    </w:rPr>
  </w:style>
  <w:style w:type="character" w:customStyle="1" w:styleId="21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9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9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9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1814</Words>
  <Characters>1956</Characters>
  <Lines>33</Lines>
  <Paragraphs>9</Paragraphs>
  <TotalTime>10</TotalTime>
  <ScaleCrop>false</ScaleCrop>
  <LinksUpToDate>false</LinksUpToDate>
  <CharactersWithSpaces>2001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2026-07-08T00:49:00Z</dcterms:created>
  <dc:creator>Administrator</dc:creator>
  <cp:lastModifiedBy>王俊艳</cp:lastModifiedBy>
  <dcterms:modified xsi:type="dcterms:W3CDTF">2026-07-20T02:37:50Z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eyJoZGlkIjoiZWQ3MDViYzI1MDM3YTkxNWU5ODhhYjA0OWVjNDFkZjUiLCJ1c2VySWQiOiIxMjY4NzAyODcwIn0=</vt:lpwstr>
  </property>
  <property fmtid="{D5CDD505-2E9C-101B-9397-08002B2CF9AE}" pid="3" name="KSOProductBuildVer">
    <vt:lpwstr>2052-12.1.0.26391</vt:lpwstr>
  </property>
  <property fmtid="{D5CDD505-2E9C-101B-9397-08002B2CF9AE}" pid="4" name="ICV">
    <vt:lpwstr>680BE7CC7D84438B8B8501E225E96EA0_13</vt:lpwstr>
  </property>
</Properties>
</file>